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5DBC" w14:textId="77777777" w:rsidR="0070336A" w:rsidRDefault="00582B6C">
      <w:pPr>
        <w:pStyle w:val="Title"/>
      </w:pPr>
      <w:r>
        <w:rPr>
          <w:b/>
          <w:bCs/>
          <w:color w:val="002060"/>
          <w:shd w:val="clear" w:color="auto" w:fill="FFFFFF"/>
        </w:rPr>
        <w:t>Replicability - A Case Study</w:t>
      </w:r>
    </w:p>
    <w:p w14:paraId="204FB67D" w14:textId="77777777" w:rsidR="0070336A" w:rsidRDefault="00582B6C">
      <w:r>
        <w:rPr>
          <w:rFonts w:cs="Calibri"/>
          <w:color w:val="333333"/>
          <w:sz w:val="20"/>
          <w:szCs w:val="20"/>
          <w:shd w:val="clear" w:color="auto" w:fill="FFFFFF"/>
        </w:rPr>
        <w:t xml:space="preserve">Lane, K. A., </w:t>
      </w:r>
      <w:proofErr w:type="spellStart"/>
      <w:r>
        <w:rPr>
          <w:rFonts w:cs="Calibri"/>
          <w:color w:val="333333"/>
          <w:sz w:val="20"/>
          <w:szCs w:val="20"/>
          <w:shd w:val="clear" w:color="auto" w:fill="FFFFFF"/>
        </w:rPr>
        <w:t>Urry</w:t>
      </w:r>
      <w:proofErr w:type="spellEnd"/>
      <w:r>
        <w:rPr>
          <w:rFonts w:cs="Calibri"/>
          <w:color w:val="333333"/>
          <w:sz w:val="20"/>
          <w:szCs w:val="20"/>
          <w:shd w:val="clear" w:color="auto" w:fill="FFFFFF"/>
        </w:rPr>
        <w:t xml:space="preserve">, H. L., &amp; </w:t>
      </w:r>
      <w:proofErr w:type="spellStart"/>
      <w:r>
        <w:rPr>
          <w:rFonts w:cs="Calibri"/>
          <w:color w:val="333333"/>
          <w:sz w:val="20"/>
          <w:szCs w:val="20"/>
          <w:shd w:val="clear" w:color="auto" w:fill="FFFFFF"/>
        </w:rPr>
        <w:t>Arnal</w:t>
      </w:r>
      <w:proofErr w:type="spellEnd"/>
      <w:r>
        <w:rPr>
          <w:rFonts w:cs="Calibri"/>
          <w:color w:val="333333"/>
          <w:sz w:val="20"/>
          <w:szCs w:val="20"/>
          <w:shd w:val="clear" w:color="auto" w:fill="FFFFFF"/>
        </w:rPr>
        <w:t xml:space="preserve">, J. D. (2018, June 24). Replication in the Classroom - A Case Study. Retrieved from </w:t>
      </w:r>
      <w:hyperlink r:id="rId6" w:history="1">
        <w:r>
          <w:rPr>
            <w:rStyle w:val="Hyperlink"/>
            <w:rFonts w:cs="Calibri"/>
            <w:sz w:val="20"/>
            <w:szCs w:val="20"/>
            <w:shd w:val="clear" w:color="auto" w:fill="FFFFFF"/>
          </w:rPr>
          <w:t>osf.io/</w:t>
        </w:r>
        <w:proofErr w:type="spellStart"/>
        <w:r>
          <w:rPr>
            <w:rStyle w:val="Hyperlink"/>
            <w:rFonts w:cs="Calibri"/>
            <w:sz w:val="20"/>
            <w:szCs w:val="20"/>
            <w:shd w:val="clear" w:color="auto" w:fill="FFFFFF"/>
          </w:rPr>
          <w:t>xhbjw</w:t>
        </w:r>
        <w:proofErr w:type="spellEnd"/>
      </w:hyperlink>
    </w:p>
    <w:p w14:paraId="2D188DF0" w14:textId="77777777" w:rsidR="0070336A" w:rsidRDefault="0070336A">
      <w:pPr>
        <w:rPr>
          <w:rFonts w:cs="Calibri"/>
        </w:rPr>
      </w:pPr>
    </w:p>
    <w:p w14:paraId="2209F054" w14:textId="77777777" w:rsidR="0070336A" w:rsidRDefault="00582B6C">
      <w:pPr>
        <w:rPr>
          <w:rFonts w:cs="Calibri"/>
        </w:rPr>
      </w:pPr>
      <w:r>
        <w:rPr>
          <w:rFonts w:cs="Calibri"/>
        </w:rPr>
        <w:t>Liliana Mayes is a third-year doctoral student in developmental psychology.  She has a strong working relationship with her advisor, Dr. Arden Blackburn (who is a full tenured p</w:t>
      </w:r>
      <w:r>
        <w:rPr>
          <w:rFonts w:cs="Calibri"/>
        </w:rPr>
        <w:t>rofessor) and works on a secondary project with Dr. Garnet Hobson (an untenured faculty member in his fifth year on the faculty, who is also on her master's and dissertation committees).  Liliana completed her master’s thesis last year. </w:t>
      </w:r>
    </w:p>
    <w:p w14:paraId="72558C92" w14:textId="77777777" w:rsidR="0070336A" w:rsidRDefault="00582B6C">
      <w:r>
        <w:rPr>
          <w:rFonts w:cs="Calibri"/>
        </w:rPr>
        <w:t>Her thesis consist</w:t>
      </w:r>
      <w:r>
        <w:rPr>
          <w:rFonts w:cs="Calibri"/>
        </w:rPr>
        <w:t xml:space="preserve">s of two studies.  The first study tested the hypothesis that five and </w:t>
      </w:r>
      <w:proofErr w:type="gramStart"/>
      <w:r>
        <w:rPr>
          <w:rFonts w:cs="Calibri"/>
        </w:rPr>
        <w:t>six year old</w:t>
      </w:r>
      <w:proofErr w:type="gramEnd"/>
      <w:r>
        <w:rPr>
          <w:rFonts w:cs="Calibri"/>
        </w:rPr>
        <w:t xml:space="preserve"> children show better understanding of scientific theories after engaging in a hands-on activity while learning the concept.  </w:t>
      </w:r>
      <w:proofErr w:type="gramStart"/>
      <w:r>
        <w:rPr>
          <w:rFonts w:cs="Calibri"/>
        </w:rPr>
        <w:t>Seventy five</w:t>
      </w:r>
      <w:proofErr w:type="gramEnd"/>
      <w:r>
        <w:rPr>
          <w:rFonts w:cs="Calibri"/>
        </w:rPr>
        <w:t>- and six-year old children partici</w:t>
      </w:r>
      <w:r>
        <w:rPr>
          <w:rFonts w:cs="Calibri"/>
        </w:rPr>
        <w:t>pated at a local science museum. Children were randomly assigned to learn about the food chain through a video and lecture from a college-aged docent and then draw a picture of sharks eating (control condition), or to learn about the food chain through the</w:t>
      </w:r>
      <w:r>
        <w:rPr>
          <w:rFonts w:cs="Calibri"/>
        </w:rPr>
        <w:t xml:space="preserve"> same video and lecture plus an activity where they reconstructed the food chain. The dependent variable was a series of 10 questions that children were asked individually by an undergraduate research assistant who was blind to condition.  Data from 16 chi</w:t>
      </w:r>
      <w:r>
        <w:rPr>
          <w:rFonts w:cs="Calibri"/>
        </w:rPr>
        <w:t>ldren were not used in the study because in the experimenter's assessment, they didn't understand the task or were goofing off during the lecture, video, or activity. Data from 54 children, equally distributed across conditions, remained. Four other underg</w:t>
      </w:r>
      <w:r>
        <w:rPr>
          <w:rFonts w:cs="Calibri"/>
        </w:rPr>
        <w:t>raduates who were blind to condition and the study’s purpose coded children’s answers on a scale from 0 (not at all correct) to 10 (perfectly correct); these scores were averaged to create a single score per subject. An independent samples t-test showed th</w:t>
      </w:r>
      <w:r>
        <w:rPr>
          <w:rFonts w:cs="Calibri"/>
        </w:rPr>
        <w:t>at children in the active learning group (</w:t>
      </w:r>
      <w:r>
        <w:rPr>
          <w:rFonts w:cs="Calibri"/>
          <w:i/>
          <w:iCs/>
        </w:rPr>
        <w:t>M</w:t>
      </w:r>
      <w:r>
        <w:rPr>
          <w:rFonts w:cs="Calibri"/>
        </w:rPr>
        <w:t xml:space="preserve"> = 6.37, </w:t>
      </w:r>
      <w:r>
        <w:rPr>
          <w:rFonts w:cs="Calibri"/>
          <w:i/>
          <w:iCs/>
        </w:rPr>
        <w:t>SD</w:t>
      </w:r>
      <w:r>
        <w:rPr>
          <w:rFonts w:cs="Calibri"/>
        </w:rPr>
        <w:t> = 0.91) outperformed children in the control condition (</w:t>
      </w:r>
      <w:r>
        <w:rPr>
          <w:rFonts w:cs="Calibri"/>
          <w:i/>
          <w:iCs/>
        </w:rPr>
        <w:t>M</w:t>
      </w:r>
      <w:r>
        <w:rPr>
          <w:rFonts w:cs="Calibri"/>
        </w:rPr>
        <w:t xml:space="preserve"> = 5.81, </w:t>
      </w:r>
      <w:r>
        <w:rPr>
          <w:rFonts w:cs="Calibri"/>
          <w:i/>
          <w:iCs/>
        </w:rPr>
        <w:t>SD</w:t>
      </w:r>
      <w:r>
        <w:rPr>
          <w:rFonts w:cs="Calibri"/>
        </w:rPr>
        <w:t xml:space="preserve"> = 1.03), </w:t>
      </w:r>
      <w:r>
        <w:rPr>
          <w:rFonts w:cs="Calibri"/>
          <w:i/>
          <w:iCs/>
        </w:rPr>
        <w:t>t</w:t>
      </w:r>
      <w:r>
        <w:rPr>
          <w:rFonts w:cs="Calibri"/>
        </w:rPr>
        <w:t xml:space="preserve"> (52) = 2.10, </w:t>
      </w:r>
      <w:r>
        <w:rPr>
          <w:rFonts w:cs="Calibri"/>
          <w:i/>
          <w:iCs/>
        </w:rPr>
        <w:t>p</w:t>
      </w:r>
      <w:r>
        <w:rPr>
          <w:rFonts w:cs="Calibri"/>
        </w:rPr>
        <w:t xml:space="preserve"> = .04.   </w:t>
      </w:r>
    </w:p>
    <w:p w14:paraId="56FEB6DF" w14:textId="77777777" w:rsidR="0070336A" w:rsidRDefault="00582B6C">
      <w:r>
        <w:rPr>
          <w:rFonts w:cs="Calibri"/>
        </w:rPr>
        <w:t>The second study was a laboratory-based replication of the first study that was preregistered on</w:t>
      </w:r>
      <w:r>
        <w:rPr>
          <w:rFonts w:cs="Calibri"/>
        </w:rPr>
        <w:t xml:space="preserve"> the Open Science Framework (OSF). One hundred five- and six-year old children came to Dr. Blackburn's Cognitive Development Lab and participated in the study, which recreated the museum experience.   The results were similar to the first study - children </w:t>
      </w:r>
      <w:r>
        <w:rPr>
          <w:rFonts w:cs="Calibri"/>
        </w:rPr>
        <w:t>who had the hands-on activity showed greater conceptual understanding (</w:t>
      </w:r>
      <w:r>
        <w:rPr>
          <w:rFonts w:cs="Calibri"/>
          <w:i/>
          <w:iCs/>
        </w:rPr>
        <w:t>M =</w:t>
      </w:r>
      <w:r>
        <w:rPr>
          <w:rFonts w:cs="Calibri"/>
        </w:rPr>
        <w:t xml:space="preserve"> 5.56, </w:t>
      </w:r>
      <w:r>
        <w:rPr>
          <w:rFonts w:cs="Calibri"/>
          <w:i/>
          <w:iCs/>
        </w:rPr>
        <w:t>SD =</w:t>
      </w:r>
      <w:r>
        <w:rPr>
          <w:rFonts w:cs="Calibri"/>
        </w:rPr>
        <w:t xml:space="preserve"> 0.74)</w:t>
      </w:r>
      <w:r>
        <w:rPr>
          <w:rFonts w:cs="Calibri"/>
          <w:i/>
          <w:iCs/>
        </w:rPr>
        <w:t> </w:t>
      </w:r>
      <w:r>
        <w:rPr>
          <w:rFonts w:cs="Calibri"/>
        </w:rPr>
        <w:t>than those in the control condition (</w:t>
      </w:r>
      <w:proofErr w:type="gramStart"/>
      <w:r>
        <w:rPr>
          <w:rFonts w:cs="Calibri"/>
          <w:i/>
          <w:iCs/>
        </w:rPr>
        <w:t>M</w:t>
      </w:r>
      <w:r>
        <w:rPr>
          <w:rFonts w:cs="Calibri"/>
        </w:rPr>
        <w:t>  =</w:t>
      </w:r>
      <w:proofErr w:type="gramEnd"/>
      <w:r>
        <w:rPr>
          <w:rFonts w:cs="Calibri"/>
        </w:rPr>
        <w:t xml:space="preserve"> 5.23, SD = 0.87), t (98) = 2.05, p = .04.  </w:t>
      </w:r>
      <w:r>
        <w:rPr>
          <w:rStyle w:val="FootnoteReference"/>
          <w:rFonts w:eastAsia="Times New Roman" w:cs="Calibri"/>
        </w:rPr>
        <w:footnoteReference w:id="1"/>
      </w:r>
    </w:p>
    <w:p w14:paraId="04BA7057" w14:textId="77777777" w:rsidR="0070336A" w:rsidRDefault="00582B6C">
      <w:r>
        <w:rPr>
          <w:rFonts w:cs="Calibri"/>
        </w:rPr>
        <w:t>Lilian</w:t>
      </w:r>
      <w:r>
        <w:rPr>
          <w:rFonts w:cs="Calibri"/>
        </w:rPr>
        <w:t>a presented the work at a conference and it received positive attention in the media and on social media.  She is close to finishing a manuscript for publication.  In the meantime, a separate research group conducted a replication of her study in their lab</w:t>
      </w:r>
      <w:r>
        <w:rPr>
          <w:rFonts w:cs="Calibri"/>
        </w:rPr>
        <w:t xml:space="preserve"> and did not find an effect of condition: t (498) = 1.29, p = .20.</w:t>
      </w:r>
      <w:r>
        <w:rPr>
          <w:rStyle w:val="FootnoteReference"/>
          <w:rFonts w:eastAsia="Times New Roman" w:cs="Calibri"/>
        </w:rPr>
        <w:footnoteReference w:id="2"/>
      </w:r>
      <w:r>
        <w:rPr>
          <w:rFonts w:cs="Calibri"/>
        </w:rPr>
        <w:t xml:space="preserve">  They have contacted Liliana and described their results, and she has </w:t>
      </w:r>
      <w:r>
        <w:rPr>
          <w:rFonts w:cs="Calibri"/>
        </w:rPr>
        <w:t>shared their news with Drs. Blackburn and Hobson.  She is unsure about what to do now.  Her advisor, Dr. Blackburn is encouraging her to disseminate the research as a publication as quickly as possible.  Dr. Hobson is less sure what she should do, as he th</w:t>
      </w:r>
      <w:r>
        <w:rPr>
          <w:rFonts w:cs="Calibri"/>
        </w:rPr>
        <w:t>inks that the external replication with a larger sample undermines the validity of her results.  Both faculty members are collaborating on the research and would be authors on any resulting publications.  </w:t>
      </w:r>
      <w:r>
        <w:rPr>
          <w:rFonts w:ascii="Corbel" w:hAnsi="Corbel"/>
          <w:sz w:val="24"/>
        </w:rPr>
        <w:tab/>
      </w:r>
      <w:r>
        <w:rPr>
          <w:rFonts w:ascii="Corbel" w:hAnsi="Corbel"/>
          <w:sz w:val="24"/>
        </w:rPr>
        <w:tab/>
      </w:r>
    </w:p>
    <w:p w14:paraId="7F747F96" w14:textId="77777777" w:rsidR="0070336A" w:rsidRDefault="0070336A">
      <w:pPr>
        <w:rPr>
          <w:rFonts w:ascii="Corbel" w:hAnsi="Corbel"/>
          <w:color w:val="2E74B5"/>
          <w:sz w:val="24"/>
          <w:szCs w:val="32"/>
        </w:rPr>
      </w:pPr>
    </w:p>
    <w:sectPr w:rsidR="0070336A">
      <w:headerReference w:type="default" r:id="rId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1CA8" w14:textId="77777777" w:rsidR="00582B6C" w:rsidRDefault="00582B6C">
      <w:pPr>
        <w:spacing w:after="0" w:line="240" w:lineRule="auto"/>
      </w:pPr>
      <w:r>
        <w:separator/>
      </w:r>
    </w:p>
  </w:endnote>
  <w:endnote w:type="continuationSeparator" w:id="0">
    <w:p w14:paraId="6E137C68" w14:textId="77777777" w:rsidR="00582B6C" w:rsidRDefault="0058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8D18" w14:textId="77777777" w:rsidR="00582B6C" w:rsidRDefault="00582B6C">
      <w:pPr>
        <w:spacing w:after="0" w:line="240" w:lineRule="auto"/>
      </w:pPr>
      <w:r>
        <w:rPr>
          <w:color w:val="000000"/>
        </w:rPr>
        <w:separator/>
      </w:r>
    </w:p>
  </w:footnote>
  <w:footnote w:type="continuationSeparator" w:id="0">
    <w:p w14:paraId="28172687" w14:textId="77777777" w:rsidR="00582B6C" w:rsidRDefault="00582B6C">
      <w:pPr>
        <w:spacing w:after="0" w:line="240" w:lineRule="auto"/>
      </w:pPr>
      <w:r>
        <w:continuationSeparator/>
      </w:r>
    </w:p>
  </w:footnote>
  <w:footnote w:id="1">
    <w:p w14:paraId="4D9650AE" w14:textId="77777777" w:rsidR="0070336A" w:rsidRDefault="00582B6C">
      <w:pPr>
        <w:spacing w:after="0" w:line="240" w:lineRule="auto"/>
      </w:pPr>
      <w:r>
        <w:rPr>
          <w:rStyle w:val="FootnoteReference"/>
        </w:rPr>
        <w:footnoteRef/>
      </w:r>
      <w:r>
        <w:rPr>
          <w:rFonts w:cs="Calibri"/>
          <w:sz w:val="20"/>
        </w:rPr>
        <w:t xml:space="preserve"> </w:t>
      </w:r>
      <w:r>
        <w:rPr>
          <w:rFonts w:eastAsia="Times New Roman" w:cs="Calibri"/>
          <w:sz w:val="20"/>
          <w:szCs w:val="24"/>
        </w:rPr>
        <w:t>Data for the museum study and lab study are available on the OSF, named ma</w:t>
      </w:r>
      <w:r>
        <w:rPr>
          <w:rFonts w:eastAsia="Times New Roman" w:cs="Calibri"/>
          <w:sz w:val="20"/>
          <w:szCs w:val="24"/>
        </w:rPr>
        <w:t>yes_data_study1.csv and mayes_data_study2.csv, respectively.  Each file is comma-delimited and contains three variables: Subject (a unique subject number), Condition (0=Control; 1= Active Learning Intervention), and Score (score on the assessment).</w:t>
      </w:r>
    </w:p>
    <w:p w14:paraId="1AA1FEDA" w14:textId="77777777" w:rsidR="0070336A" w:rsidRDefault="0070336A">
      <w:pPr>
        <w:pStyle w:val="FootnoteText"/>
        <w:rPr>
          <w:rFonts w:cs="Calibri"/>
        </w:rPr>
      </w:pPr>
    </w:p>
  </w:footnote>
  <w:footnote w:id="2">
    <w:p w14:paraId="53BAAA4A" w14:textId="77777777" w:rsidR="0070336A" w:rsidRDefault="00582B6C">
      <w:pPr>
        <w:pStyle w:val="FootnoteText"/>
      </w:pPr>
      <w:r>
        <w:rPr>
          <w:rStyle w:val="FootnoteReference"/>
        </w:rPr>
        <w:footnoteRef/>
      </w:r>
      <w:r>
        <w:rPr>
          <w:rFonts w:cs="Calibri"/>
        </w:rPr>
        <w:t xml:space="preserve"> </w:t>
      </w:r>
      <w:r>
        <w:rPr>
          <w:rFonts w:eastAsia="Times New Roman" w:cs="Calibri"/>
          <w:szCs w:val="24"/>
        </w:rPr>
        <w:t>These data are also available on the OSF as mayes_data_replicaiton.csv, with the same variables 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A6B0" w14:textId="77777777" w:rsidR="00EB1448" w:rsidRDefault="00582B6C">
    <w:pPr>
      <w:pStyle w:val="Header"/>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14:paraId="66906C80" w14:textId="77777777" w:rsidR="00EB1448" w:rsidRDefault="00582B6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0336A"/>
    <w:rsid w:val="00582B6C"/>
    <w:rsid w:val="0070336A"/>
    <w:rsid w:val="00F95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522C"/>
  <w15:docId w15:val="{2D215D8C-1D6D-4DAA-A061-D66D6F9E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paragraph" w:styleId="TOCHeading">
    <w:name w:val="TOC Heading"/>
    <w:basedOn w:val="Heading1"/>
    <w:next w:val="Normal"/>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ibliography">
    <w:name w:val="Bibliography"/>
    <w:basedOn w:val="Normal"/>
    <w:next w:val="Normal"/>
    <w:pPr>
      <w:spacing w:after="0" w:line="480" w:lineRule="auto"/>
      <w:ind w:left="720" w:hanging="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Title">
    <w:name w:val="Title"/>
    <w:basedOn w:val="Normal"/>
    <w:next w:val="Normal"/>
    <w:uiPriority w:val="10"/>
    <w:qFormat/>
    <w:pPr>
      <w:spacing w:after="0" w:line="240" w:lineRule="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rin\Downloads\osf.io\xhbj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dc:description/>
  <cp:lastModifiedBy>Erin Fields</cp:lastModifiedBy>
  <cp:revision>2</cp:revision>
  <dcterms:created xsi:type="dcterms:W3CDTF">2020-11-13T18:26:00Z</dcterms:created>
  <dcterms:modified xsi:type="dcterms:W3CDTF">2020-11-13T18:26:00Z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zotero-version="5.0.50"&gt;&lt;session id="c8k41HgA"/&gt;&lt;style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